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CB" w:rsidRDefault="00C726CB" w:rsidP="004014E1"/>
    <w:p w:rsidR="00C726CB" w:rsidRPr="00C726CB" w:rsidRDefault="004014E1" w:rsidP="004014E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4014E1">
        <w:rPr>
          <w:rFonts w:asciiTheme="majorHAnsi" w:hAnsiTheme="majorHAnsi"/>
          <w:b/>
          <w:sz w:val="32"/>
          <w:szCs w:val="32"/>
        </w:rPr>
        <w:t>The Sage Colleges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C726CB" w:rsidRPr="00C726CB">
        <w:rPr>
          <w:rFonts w:asciiTheme="majorHAnsi" w:hAnsiTheme="majorHAnsi"/>
          <w:b/>
          <w:sz w:val="32"/>
          <w:szCs w:val="32"/>
        </w:rPr>
        <w:t>Dietetic Internship</w:t>
      </w:r>
    </w:p>
    <w:p w:rsidR="00C726CB" w:rsidRDefault="00C726CB" w:rsidP="00C726C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C726CB">
        <w:rPr>
          <w:rFonts w:asciiTheme="majorHAnsi" w:hAnsiTheme="majorHAnsi"/>
          <w:b/>
          <w:sz w:val="32"/>
          <w:szCs w:val="32"/>
        </w:rPr>
        <w:t>Policy &amp; Procedure</w:t>
      </w:r>
      <w:bookmarkStart w:id="0" w:name="_GoBack"/>
      <w:bookmarkEnd w:id="0"/>
    </w:p>
    <w:p w:rsidR="00C726CB" w:rsidRDefault="00C726CB" w:rsidP="00C726C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C726CB" w:rsidRDefault="00C726CB" w:rsidP="00C726CB">
      <w:pPr>
        <w:pStyle w:val="NoSpacing"/>
        <w:rPr>
          <w:rFonts w:asciiTheme="majorHAnsi" w:hAnsiTheme="majorHAnsi"/>
          <w:sz w:val="24"/>
          <w:szCs w:val="24"/>
        </w:rPr>
      </w:pPr>
      <w:r w:rsidRPr="00C726CB">
        <w:rPr>
          <w:rFonts w:asciiTheme="majorHAnsi" w:hAnsiTheme="majorHAnsi"/>
          <w:b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: </w:t>
      </w:r>
      <w:r w:rsidR="0085432C">
        <w:rPr>
          <w:rFonts w:asciiTheme="majorHAnsi" w:hAnsiTheme="majorHAnsi"/>
          <w:sz w:val="24"/>
          <w:szCs w:val="24"/>
        </w:rPr>
        <w:t>Assessment of Prior Learning</w:t>
      </w:r>
    </w:p>
    <w:p w:rsidR="00C726CB" w:rsidRDefault="00C726CB" w:rsidP="00C726CB">
      <w:pPr>
        <w:pStyle w:val="NoSpacing"/>
        <w:rPr>
          <w:rFonts w:asciiTheme="majorHAnsi" w:hAnsiTheme="majorHAnsi"/>
          <w:sz w:val="24"/>
          <w:szCs w:val="24"/>
        </w:rPr>
      </w:pPr>
      <w:r w:rsidRPr="00C726CB">
        <w:rPr>
          <w:rFonts w:asciiTheme="majorHAnsi" w:hAnsiTheme="majorHAnsi"/>
          <w:b/>
          <w:sz w:val="24"/>
          <w:szCs w:val="24"/>
        </w:rPr>
        <w:t>Approved by:</w:t>
      </w:r>
      <w:r>
        <w:rPr>
          <w:rFonts w:asciiTheme="majorHAnsi" w:hAnsiTheme="majorHAnsi"/>
          <w:sz w:val="24"/>
          <w:szCs w:val="24"/>
        </w:rPr>
        <w:t xml:space="preserve"> Dietetic Internship Director &amp; Chair of Nutrition Department</w:t>
      </w:r>
    </w:p>
    <w:p w:rsidR="00C726CB" w:rsidRPr="00C726CB" w:rsidRDefault="00C726CB" w:rsidP="00C726CB">
      <w:pPr>
        <w:pStyle w:val="NoSpacing"/>
        <w:rPr>
          <w:rFonts w:asciiTheme="majorHAnsi" w:hAnsiTheme="majorHAnsi"/>
          <w:b/>
          <w:sz w:val="24"/>
          <w:szCs w:val="24"/>
        </w:rPr>
      </w:pPr>
      <w:r w:rsidRPr="00C726CB">
        <w:rPr>
          <w:rFonts w:asciiTheme="majorHAnsi" w:hAnsiTheme="majorHAnsi"/>
          <w:b/>
          <w:sz w:val="24"/>
          <w:szCs w:val="24"/>
        </w:rPr>
        <w:t>Effective</w:t>
      </w:r>
      <w:r w:rsidRPr="004B7DCC">
        <w:rPr>
          <w:rFonts w:asciiTheme="majorHAnsi" w:hAnsiTheme="majorHAnsi"/>
          <w:b/>
          <w:sz w:val="24"/>
          <w:szCs w:val="24"/>
        </w:rPr>
        <w:t>:</w:t>
      </w:r>
      <w:r w:rsidR="004B7DCC" w:rsidRPr="004B7DCC">
        <w:rPr>
          <w:rFonts w:asciiTheme="majorHAnsi" w:hAnsiTheme="majorHAnsi"/>
          <w:b/>
          <w:sz w:val="24"/>
          <w:szCs w:val="24"/>
        </w:rPr>
        <w:t xml:space="preserve"> 11/2012</w:t>
      </w:r>
    </w:p>
    <w:p w:rsidR="00C726CB" w:rsidRPr="00C726CB" w:rsidRDefault="00C726CB" w:rsidP="00C726CB">
      <w:pPr>
        <w:pStyle w:val="NoSpacing"/>
        <w:rPr>
          <w:rFonts w:asciiTheme="majorHAnsi" w:hAnsiTheme="majorHAnsi"/>
          <w:b/>
          <w:sz w:val="24"/>
          <w:szCs w:val="24"/>
        </w:rPr>
      </w:pPr>
      <w:r w:rsidRPr="00C726CB">
        <w:rPr>
          <w:rFonts w:asciiTheme="majorHAnsi" w:hAnsiTheme="majorHAnsi"/>
          <w:b/>
          <w:sz w:val="24"/>
          <w:szCs w:val="24"/>
        </w:rPr>
        <w:t>Revision Dates:</w:t>
      </w:r>
      <w:r w:rsidR="004B7DCC">
        <w:rPr>
          <w:rFonts w:asciiTheme="majorHAnsi" w:hAnsiTheme="majorHAnsi"/>
          <w:b/>
          <w:sz w:val="24"/>
          <w:szCs w:val="24"/>
        </w:rPr>
        <w:t xml:space="preserve"> </w:t>
      </w:r>
      <w:r w:rsidR="004B7DCC" w:rsidRPr="004B7DCC">
        <w:rPr>
          <w:rFonts w:asciiTheme="majorHAnsi" w:hAnsiTheme="majorHAnsi"/>
          <w:sz w:val="24"/>
          <w:szCs w:val="24"/>
        </w:rPr>
        <w:t>11/2012</w:t>
      </w:r>
    </w:p>
    <w:p w:rsidR="00C726CB" w:rsidRDefault="00C726CB" w:rsidP="00C726CB">
      <w:pPr>
        <w:pStyle w:val="NoSpacing"/>
        <w:rPr>
          <w:rFonts w:asciiTheme="majorHAnsi" w:hAnsiTheme="majorHAnsi"/>
          <w:b/>
          <w:sz w:val="24"/>
          <w:szCs w:val="24"/>
        </w:rPr>
      </w:pPr>
      <w:r w:rsidRPr="00C726CB">
        <w:rPr>
          <w:rFonts w:asciiTheme="majorHAnsi" w:hAnsiTheme="majorHAnsi"/>
          <w:b/>
          <w:sz w:val="24"/>
          <w:szCs w:val="24"/>
        </w:rPr>
        <w:t>Reviewed by:</w:t>
      </w:r>
      <w:r w:rsidR="004B7DCC">
        <w:rPr>
          <w:rFonts w:asciiTheme="majorHAnsi" w:hAnsiTheme="majorHAnsi"/>
          <w:b/>
          <w:sz w:val="24"/>
          <w:szCs w:val="24"/>
        </w:rPr>
        <w:t xml:space="preserve"> </w:t>
      </w:r>
      <w:r w:rsidR="004B7DCC" w:rsidRPr="004B7DCC">
        <w:rPr>
          <w:rFonts w:asciiTheme="majorHAnsi" w:hAnsiTheme="majorHAnsi"/>
          <w:sz w:val="24"/>
          <w:szCs w:val="24"/>
        </w:rPr>
        <w:t>KM, RA</w:t>
      </w:r>
    </w:p>
    <w:p w:rsidR="00C726CB" w:rsidRDefault="00C726CB" w:rsidP="00C726C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726CB" w:rsidRDefault="00C726CB" w:rsidP="00C726C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Policy:</w:t>
      </w:r>
    </w:p>
    <w:p w:rsidR="00C726CB" w:rsidRDefault="0085432C" w:rsidP="00C726C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Sage Colleges Dietetic Internship</w:t>
      </w:r>
      <w:r w:rsidR="00205888">
        <w:rPr>
          <w:rFonts w:asciiTheme="majorHAnsi" w:hAnsiTheme="majorHAnsi"/>
          <w:sz w:val="24"/>
          <w:szCs w:val="24"/>
        </w:rPr>
        <w:t xml:space="preserve"> (SGS DI)</w:t>
      </w:r>
      <w:r>
        <w:rPr>
          <w:rFonts w:asciiTheme="majorHAnsi" w:hAnsiTheme="majorHAnsi"/>
          <w:sz w:val="24"/>
          <w:szCs w:val="24"/>
        </w:rPr>
        <w:t xml:space="preserve"> Program participates in the “Assessment of Prior Learning” recognized by The Accreditation Council for Education in Nutrition and Dietetics (ACEND).  Dietetic interns may apply for credit </w:t>
      </w:r>
      <w:r w:rsidR="004159C9">
        <w:rPr>
          <w:rFonts w:asciiTheme="majorHAnsi" w:hAnsiTheme="majorHAnsi"/>
          <w:sz w:val="24"/>
          <w:szCs w:val="24"/>
        </w:rPr>
        <w:t>towards</w:t>
      </w:r>
      <w:r>
        <w:rPr>
          <w:rFonts w:asciiTheme="majorHAnsi" w:hAnsiTheme="majorHAnsi"/>
          <w:sz w:val="24"/>
          <w:szCs w:val="24"/>
        </w:rPr>
        <w:t xml:space="preserve"> supervised practice hours gained from a paid </w:t>
      </w:r>
      <w:r w:rsidR="004B7DCC">
        <w:rPr>
          <w:rFonts w:asciiTheme="majorHAnsi" w:hAnsiTheme="majorHAnsi"/>
          <w:sz w:val="24"/>
          <w:szCs w:val="24"/>
        </w:rPr>
        <w:t xml:space="preserve">fulltime </w:t>
      </w:r>
      <w:r>
        <w:rPr>
          <w:rFonts w:asciiTheme="majorHAnsi" w:hAnsiTheme="majorHAnsi"/>
          <w:sz w:val="24"/>
          <w:szCs w:val="24"/>
        </w:rPr>
        <w:t xml:space="preserve">position </w:t>
      </w:r>
      <w:r w:rsidR="00205888">
        <w:rPr>
          <w:rFonts w:asciiTheme="majorHAnsi" w:hAnsiTheme="majorHAnsi"/>
          <w:sz w:val="24"/>
          <w:szCs w:val="24"/>
        </w:rPr>
        <w:t xml:space="preserve">of at least six months </w:t>
      </w:r>
      <w:r>
        <w:rPr>
          <w:rFonts w:asciiTheme="majorHAnsi" w:hAnsiTheme="majorHAnsi"/>
          <w:sz w:val="24"/>
          <w:szCs w:val="24"/>
        </w:rPr>
        <w:t xml:space="preserve">after successful completion of </w:t>
      </w:r>
      <w:proofErr w:type="gramStart"/>
      <w:r w:rsidR="004159C9">
        <w:rPr>
          <w:rFonts w:asciiTheme="majorHAnsi" w:hAnsiTheme="majorHAnsi"/>
          <w:sz w:val="24"/>
          <w:szCs w:val="24"/>
        </w:rPr>
        <w:t>a</w:t>
      </w:r>
      <w:proofErr w:type="gramEnd"/>
      <w:r w:rsidR="004159C9">
        <w:rPr>
          <w:rFonts w:asciiTheme="majorHAnsi" w:hAnsiTheme="majorHAnsi"/>
          <w:sz w:val="24"/>
          <w:szCs w:val="24"/>
        </w:rPr>
        <w:t xml:space="preserve"> ACEND-accredited didactic program in dietetics (DPD).</w:t>
      </w:r>
    </w:p>
    <w:p w:rsidR="004159C9" w:rsidRDefault="004159C9" w:rsidP="00C726CB">
      <w:pPr>
        <w:pStyle w:val="NoSpacing"/>
        <w:rPr>
          <w:rFonts w:asciiTheme="majorHAnsi" w:hAnsiTheme="majorHAnsi"/>
          <w:sz w:val="24"/>
          <w:szCs w:val="24"/>
        </w:rPr>
      </w:pPr>
    </w:p>
    <w:p w:rsidR="004159C9" w:rsidRDefault="004159C9" w:rsidP="00C726C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Policy Standards:</w:t>
      </w:r>
    </w:p>
    <w:p w:rsidR="004159C9" w:rsidRDefault="004159C9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Interns are required to complete a minimum of 1200 supervised </w:t>
      </w:r>
      <w:r w:rsidR="004B7DCC">
        <w:rPr>
          <w:rFonts w:asciiTheme="majorHAnsi" w:hAnsiTheme="majorHAnsi"/>
          <w:sz w:val="24"/>
          <w:szCs w:val="24"/>
        </w:rPr>
        <w:t xml:space="preserve">practicum </w:t>
      </w:r>
      <w:r>
        <w:rPr>
          <w:rFonts w:asciiTheme="majorHAnsi" w:hAnsiTheme="majorHAnsi"/>
          <w:sz w:val="24"/>
          <w:szCs w:val="24"/>
        </w:rPr>
        <w:t>hours</w:t>
      </w:r>
    </w:p>
    <w:p w:rsidR="004159C9" w:rsidRDefault="004159C9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Hours must meet the defined ACEND learning outcomes and competencies</w:t>
      </w:r>
    </w:p>
    <w:p w:rsidR="004159C9" w:rsidRDefault="00691673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tuition and fees for the S</w:t>
      </w:r>
      <w:r w:rsidR="00205888">
        <w:rPr>
          <w:rFonts w:asciiTheme="majorHAnsi" w:hAnsiTheme="majorHAnsi"/>
          <w:sz w:val="24"/>
          <w:szCs w:val="24"/>
        </w:rPr>
        <w:t>GS DI will remain the same regardless of prior learning credit awarded.</w:t>
      </w:r>
    </w:p>
    <w:p w:rsidR="004159C9" w:rsidRDefault="004159C9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Graduation date will not change regardless of </w:t>
      </w:r>
      <w:r w:rsidR="00205888">
        <w:rPr>
          <w:rFonts w:asciiTheme="majorHAnsi" w:hAnsiTheme="majorHAnsi"/>
          <w:sz w:val="24"/>
          <w:szCs w:val="24"/>
        </w:rPr>
        <w:t>prior learning credit</w:t>
      </w:r>
      <w:r>
        <w:rPr>
          <w:rFonts w:asciiTheme="majorHAnsi" w:hAnsiTheme="majorHAnsi"/>
          <w:sz w:val="24"/>
          <w:szCs w:val="24"/>
        </w:rPr>
        <w:t xml:space="preserve"> awarded</w:t>
      </w:r>
    </w:p>
    <w:p w:rsidR="004159C9" w:rsidRDefault="004159C9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Intern must complete </w:t>
      </w:r>
      <w:r w:rsidR="004B7DCC">
        <w:rPr>
          <w:rFonts w:asciiTheme="majorHAnsi" w:hAnsiTheme="majorHAnsi"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associated graduate courses, regardless of prior learning credits awarded</w:t>
      </w:r>
    </w:p>
    <w:p w:rsidR="00205888" w:rsidRDefault="00205888" w:rsidP="004159C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prior learning credit will be awarded towards the Clinical Practicum Supervised Practice Hours</w:t>
      </w:r>
    </w:p>
    <w:p w:rsidR="00205888" w:rsidRPr="004B7DCC" w:rsidRDefault="00217777" w:rsidP="00217777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requesting Assessment of Prior Learning must pay a $50 evaluation fee</w:t>
      </w:r>
    </w:p>
    <w:p w:rsidR="00205888" w:rsidRDefault="00205888" w:rsidP="0021777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17777" w:rsidRDefault="00217777" w:rsidP="0021777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Procedures:</w:t>
      </w:r>
    </w:p>
    <w:p w:rsidR="00217777" w:rsidRDefault="00217777" w:rsidP="0021777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Intern will contact the Program Director by phone or email </w:t>
      </w:r>
      <w:r w:rsidR="00691673">
        <w:rPr>
          <w:rFonts w:asciiTheme="majorHAnsi" w:hAnsiTheme="majorHAnsi"/>
          <w:sz w:val="24"/>
          <w:szCs w:val="24"/>
        </w:rPr>
        <w:t xml:space="preserve">after acceptance into </w:t>
      </w:r>
      <w:r w:rsidR="00205888">
        <w:rPr>
          <w:rFonts w:asciiTheme="majorHAnsi" w:hAnsiTheme="majorHAnsi"/>
          <w:sz w:val="24"/>
          <w:szCs w:val="24"/>
        </w:rPr>
        <w:t>the SGS DI</w:t>
      </w:r>
      <w:r>
        <w:rPr>
          <w:rFonts w:asciiTheme="majorHAnsi" w:hAnsiTheme="majorHAnsi"/>
          <w:sz w:val="24"/>
          <w:szCs w:val="24"/>
        </w:rPr>
        <w:t xml:space="preserve"> to request an assessment of prior learning.  If request is verbally approved, intern will submit “</w:t>
      </w:r>
      <w:r w:rsidR="00691673">
        <w:rPr>
          <w:rFonts w:asciiTheme="majorHAnsi" w:hAnsiTheme="majorHAnsi"/>
          <w:sz w:val="24"/>
          <w:szCs w:val="24"/>
        </w:rPr>
        <w:t>Prior Learning P</w:t>
      </w:r>
      <w:r>
        <w:rPr>
          <w:rFonts w:asciiTheme="majorHAnsi" w:hAnsiTheme="majorHAnsi"/>
          <w:sz w:val="24"/>
          <w:szCs w:val="24"/>
        </w:rPr>
        <w:t>ortfolio” by June 1</w:t>
      </w:r>
      <w:r w:rsidRPr="0021777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:rsidR="00691673" w:rsidRDefault="00691673" w:rsidP="0021777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 Director will provide the intern with </w:t>
      </w:r>
      <w:r w:rsidR="005669A4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ACEND Learning Objectives &amp; Competencies Table</w:t>
      </w:r>
      <w:r w:rsidR="005669A4">
        <w:rPr>
          <w:rFonts w:asciiTheme="majorHAnsi" w:hAnsiTheme="majorHAnsi"/>
          <w:sz w:val="24"/>
          <w:szCs w:val="24"/>
        </w:rPr>
        <w:t xml:space="preserve"> (Appendix A</w:t>
      </w:r>
      <w:r>
        <w:rPr>
          <w:rFonts w:asciiTheme="majorHAnsi" w:hAnsiTheme="majorHAnsi"/>
          <w:sz w:val="24"/>
          <w:szCs w:val="24"/>
        </w:rPr>
        <w:t>)</w:t>
      </w:r>
    </w:p>
    <w:p w:rsidR="00205888" w:rsidRDefault="00691673" w:rsidP="0021777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Interns applying for credit towards supervised practice hours must submit a complete “Prior Learning Portfolio”,</w:t>
      </w:r>
      <w:r w:rsidR="00205888">
        <w:rPr>
          <w:rFonts w:asciiTheme="majorHAnsi" w:hAnsiTheme="majorHAnsi"/>
          <w:sz w:val="24"/>
          <w:szCs w:val="24"/>
        </w:rPr>
        <w:t xml:space="preserve"> by mail to the DI Director by June 1</w:t>
      </w:r>
      <w:r w:rsidR="00205888" w:rsidRPr="00205888">
        <w:rPr>
          <w:rFonts w:asciiTheme="majorHAnsi" w:hAnsiTheme="majorHAnsi"/>
          <w:sz w:val="24"/>
          <w:szCs w:val="24"/>
          <w:vertAlign w:val="superscript"/>
        </w:rPr>
        <w:t>st</w:t>
      </w:r>
      <w:r w:rsidR="00205888">
        <w:rPr>
          <w:rFonts w:asciiTheme="majorHAnsi" w:hAnsiTheme="majorHAnsi"/>
          <w:sz w:val="24"/>
          <w:szCs w:val="24"/>
        </w:rPr>
        <w:t>.</w:t>
      </w:r>
    </w:p>
    <w:p w:rsidR="005669A4" w:rsidRDefault="005669A4" w:rsidP="00205888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4B7DCC" w:rsidRDefault="004B7DCC" w:rsidP="00205888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4B7DCC" w:rsidRDefault="004B7DCC" w:rsidP="00205888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4B7DCC" w:rsidRDefault="004B7DCC" w:rsidP="00205888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205888" w:rsidRPr="00205888" w:rsidRDefault="00205888" w:rsidP="00205888">
      <w:pPr>
        <w:pStyle w:val="NoSpacing"/>
        <w:ind w:left="720"/>
        <w:rPr>
          <w:rFonts w:cstheme="minorHAnsi"/>
          <w:i/>
          <w:sz w:val="24"/>
          <w:szCs w:val="24"/>
        </w:rPr>
      </w:pPr>
      <w:r w:rsidRPr="00205888">
        <w:rPr>
          <w:rFonts w:cstheme="minorHAnsi"/>
          <w:i/>
          <w:sz w:val="24"/>
          <w:szCs w:val="24"/>
        </w:rPr>
        <w:t xml:space="preserve">Mailing Address: </w:t>
      </w:r>
      <w:r w:rsidRPr="00205888">
        <w:rPr>
          <w:rFonts w:cstheme="minorHAnsi"/>
          <w:i/>
          <w:sz w:val="24"/>
          <w:szCs w:val="24"/>
        </w:rPr>
        <w:tab/>
      </w:r>
      <w:r w:rsidR="00A91FF6">
        <w:rPr>
          <w:rFonts w:cstheme="minorHAnsi"/>
          <w:i/>
          <w:sz w:val="24"/>
          <w:szCs w:val="24"/>
        </w:rPr>
        <w:t>Michelle Morgan, MS, RDN</w:t>
      </w:r>
    </w:p>
    <w:p w:rsidR="00205888" w:rsidRPr="00205888" w:rsidRDefault="00205888" w:rsidP="00205888">
      <w:pPr>
        <w:pStyle w:val="NoSpacing"/>
        <w:rPr>
          <w:rFonts w:cstheme="minorHAnsi"/>
          <w:i/>
          <w:sz w:val="24"/>
          <w:szCs w:val="24"/>
        </w:rPr>
      </w:pPr>
      <w:r w:rsidRPr="00205888">
        <w:rPr>
          <w:rFonts w:cstheme="minorHAnsi"/>
          <w:i/>
          <w:sz w:val="24"/>
          <w:szCs w:val="24"/>
        </w:rPr>
        <w:tab/>
      </w:r>
      <w:r w:rsidRPr="00205888">
        <w:rPr>
          <w:rFonts w:cstheme="minorHAnsi"/>
          <w:i/>
          <w:sz w:val="24"/>
          <w:szCs w:val="24"/>
        </w:rPr>
        <w:tab/>
      </w:r>
      <w:r w:rsidRPr="00205888">
        <w:rPr>
          <w:rFonts w:cstheme="minorHAnsi"/>
          <w:i/>
          <w:sz w:val="24"/>
          <w:szCs w:val="24"/>
        </w:rPr>
        <w:tab/>
      </w:r>
      <w:r w:rsidRPr="00205888">
        <w:rPr>
          <w:rFonts w:cstheme="minorHAnsi"/>
          <w:i/>
          <w:sz w:val="24"/>
          <w:szCs w:val="24"/>
        </w:rPr>
        <w:tab/>
        <w:t>Nutrition Science Department</w:t>
      </w:r>
    </w:p>
    <w:p w:rsidR="00205888" w:rsidRPr="00205888" w:rsidRDefault="00205888" w:rsidP="00205888">
      <w:pPr>
        <w:pStyle w:val="NoSpacing"/>
        <w:ind w:left="2880"/>
        <w:rPr>
          <w:rFonts w:cstheme="minorHAnsi"/>
          <w:i/>
          <w:sz w:val="24"/>
          <w:szCs w:val="24"/>
        </w:rPr>
      </w:pPr>
      <w:r w:rsidRPr="00205888">
        <w:rPr>
          <w:rFonts w:cstheme="minorHAnsi"/>
          <w:i/>
          <w:sz w:val="24"/>
          <w:szCs w:val="24"/>
        </w:rPr>
        <w:lastRenderedPageBreak/>
        <w:t>The Sage Colleges</w:t>
      </w:r>
      <w:r w:rsidRPr="00205888">
        <w:rPr>
          <w:rFonts w:cstheme="minorHAnsi"/>
          <w:i/>
          <w:sz w:val="24"/>
          <w:szCs w:val="24"/>
        </w:rPr>
        <w:br/>
        <w:t>65 First Street</w:t>
      </w:r>
      <w:r w:rsidRPr="00205888">
        <w:rPr>
          <w:rFonts w:cstheme="minorHAnsi"/>
          <w:i/>
          <w:sz w:val="24"/>
          <w:szCs w:val="24"/>
        </w:rPr>
        <w:br/>
        <w:t>Troy, NY 12180-4199</w:t>
      </w:r>
    </w:p>
    <w:p w:rsidR="00205888" w:rsidRDefault="00205888" w:rsidP="0020588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91673" w:rsidRDefault="00205888" w:rsidP="00205888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Prior Learning Portfolio must</w:t>
      </w:r>
      <w:r w:rsidR="00691673">
        <w:rPr>
          <w:rFonts w:asciiTheme="majorHAnsi" w:hAnsiTheme="majorHAnsi"/>
          <w:sz w:val="24"/>
          <w:szCs w:val="24"/>
        </w:rPr>
        <w:t xml:space="preserve"> include the following:</w:t>
      </w:r>
    </w:p>
    <w:p w:rsidR="00691673" w:rsidRDefault="00691673" w:rsidP="00691673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Completed ACEND Lea</w:t>
      </w:r>
      <w:r w:rsidR="004014E1">
        <w:rPr>
          <w:rFonts w:asciiTheme="majorHAnsi" w:hAnsiTheme="majorHAnsi"/>
          <w:sz w:val="24"/>
          <w:szCs w:val="24"/>
        </w:rPr>
        <w:t>rning Objectives &amp; Competencies</w:t>
      </w:r>
      <w:r>
        <w:rPr>
          <w:rFonts w:asciiTheme="majorHAnsi" w:hAnsiTheme="majorHAnsi"/>
          <w:sz w:val="24"/>
          <w:szCs w:val="24"/>
        </w:rPr>
        <w:t xml:space="preserve"> table (Appendix </w:t>
      </w:r>
      <w:r w:rsidR="00DA6B16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)</w:t>
      </w:r>
    </w:p>
    <w:p w:rsidR="00691673" w:rsidRDefault="00691673" w:rsidP="00691673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Documentation to support </w:t>
      </w:r>
      <w:r w:rsidR="004B7DCC">
        <w:rPr>
          <w:rFonts w:asciiTheme="majorHAnsi" w:hAnsiTheme="majorHAnsi"/>
          <w:sz w:val="24"/>
          <w:szCs w:val="24"/>
        </w:rPr>
        <w:t xml:space="preserve">that each </w:t>
      </w:r>
      <w:r>
        <w:rPr>
          <w:rFonts w:asciiTheme="majorHAnsi" w:hAnsiTheme="majorHAnsi"/>
          <w:sz w:val="24"/>
          <w:szCs w:val="24"/>
        </w:rPr>
        <w:t>competency was met (i.e. job description, performance review, samples of projects, reports, presentations, and professional practice that demonstrates advance knowledge and skill in dietetics, etc.)</w:t>
      </w:r>
    </w:p>
    <w:p w:rsidR="00691673" w:rsidRDefault="00691673" w:rsidP="00691673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Letter from immediate supervisor verifying experience</w:t>
      </w:r>
    </w:p>
    <w:p w:rsidR="00691673" w:rsidRPr="00217777" w:rsidRDefault="00691673" w:rsidP="00691673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05888">
        <w:rPr>
          <w:rFonts w:asciiTheme="majorHAnsi" w:hAnsiTheme="majorHAnsi"/>
          <w:sz w:val="24"/>
          <w:szCs w:val="24"/>
        </w:rPr>
        <w:t>$50 Evaluation Fee (checks should be made out</w:t>
      </w:r>
      <w:r w:rsidR="004B7DCC">
        <w:rPr>
          <w:rFonts w:asciiTheme="majorHAnsi" w:hAnsiTheme="majorHAnsi"/>
          <w:sz w:val="24"/>
          <w:szCs w:val="24"/>
        </w:rPr>
        <w:t xml:space="preserve"> to: The Sage Colleges</w:t>
      </w:r>
      <w:r w:rsidR="00205888">
        <w:rPr>
          <w:rFonts w:asciiTheme="majorHAnsi" w:hAnsiTheme="majorHAnsi"/>
          <w:sz w:val="24"/>
          <w:szCs w:val="24"/>
        </w:rPr>
        <w:t>)</w:t>
      </w:r>
    </w:p>
    <w:sectPr w:rsidR="00691673" w:rsidRPr="00217777" w:rsidSect="0058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32E40"/>
    <w:multiLevelType w:val="hybridMultilevel"/>
    <w:tmpl w:val="31E48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C2BBA"/>
    <w:multiLevelType w:val="hybridMultilevel"/>
    <w:tmpl w:val="A780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CB"/>
    <w:rsid w:val="000F4FB1"/>
    <w:rsid w:val="00205888"/>
    <w:rsid w:val="00217777"/>
    <w:rsid w:val="00337DD3"/>
    <w:rsid w:val="003D165B"/>
    <w:rsid w:val="004014E1"/>
    <w:rsid w:val="004159C9"/>
    <w:rsid w:val="004B7DCC"/>
    <w:rsid w:val="005669A4"/>
    <w:rsid w:val="005808EB"/>
    <w:rsid w:val="00691673"/>
    <w:rsid w:val="0085432C"/>
    <w:rsid w:val="008A7685"/>
    <w:rsid w:val="00A91FF6"/>
    <w:rsid w:val="00C726CB"/>
    <w:rsid w:val="00D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CAE3C-68FC-4F7F-9BCF-0565FD5B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6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C Morgan</cp:lastModifiedBy>
  <cp:revision>3</cp:revision>
  <dcterms:created xsi:type="dcterms:W3CDTF">2017-03-07T12:10:00Z</dcterms:created>
  <dcterms:modified xsi:type="dcterms:W3CDTF">2017-09-21T18:54:00Z</dcterms:modified>
</cp:coreProperties>
</file>